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030C6" w14:textId="77777777" w:rsidR="00873EC7" w:rsidRDefault="00873EC7" w:rsidP="00CB0A5A">
      <w:pPr>
        <w:pStyle w:val="U4"/>
      </w:pPr>
    </w:p>
    <w:p w14:paraId="6C9BF3E5" w14:textId="77777777" w:rsidR="00873EC7" w:rsidRPr="00FB414E" w:rsidRDefault="00873EC7" w:rsidP="008C18FD">
      <w:pPr>
        <w:shd w:val="clear" w:color="auto" w:fill="E6E6E6"/>
        <w:spacing w:after="0" w:line="288" w:lineRule="auto"/>
        <w:ind w:right="23"/>
        <w:jc w:val="center"/>
        <w:rPr>
          <w:rFonts w:ascii="Times New Roman" w:hAnsi="Times New Roman"/>
          <w:b/>
          <w:bCs/>
        </w:rPr>
      </w:pPr>
      <w:bookmarkStart w:id="0" w:name="_Hlk91162878"/>
      <w:r w:rsidRPr="00FB414E">
        <w:rPr>
          <w:rFonts w:ascii="Times New Roman" w:hAnsi="Times New Roman"/>
          <w:b/>
          <w:bCs/>
        </w:rPr>
        <w:t>Kapitel 8 - Staatsverschuldung</w:t>
      </w:r>
    </w:p>
    <w:p w14:paraId="35E87B79" w14:textId="77777777" w:rsidR="00873EC7" w:rsidRPr="00FB414E" w:rsidRDefault="00873EC7" w:rsidP="00873EC7">
      <w:pPr>
        <w:shd w:val="clear" w:color="auto" w:fill="E6E6E6"/>
        <w:spacing w:line="288" w:lineRule="auto"/>
        <w:ind w:right="23"/>
        <w:jc w:val="center"/>
        <w:rPr>
          <w:rFonts w:ascii="Times New Roman" w:hAnsi="Times New Roman"/>
          <w:b/>
          <w:bCs/>
        </w:rPr>
      </w:pPr>
      <w:r w:rsidRPr="00FB414E">
        <w:rPr>
          <w:rFonts w:ascii="Times New Roman" w:hAnsi="Times New Roman"/>
          <w:b/>
          <w:bCs/>
        </w:rPr>
        <w:t>Exkurs „Generationenbilanzierung“</w:t>
      </w:r>
    </w:p>
    <w:bookmarkEnd w:id="0"/>
    <w:p w14:paraId="32D59E5C" w14:textId="77777777" w:rsidR="00873EC7" w:rsidRPr="00FB414E" w:rsidRDefault="00873EC7" w:rsidP="00CB0A5A">
      <w:pPr>
        <w:pStyle w:val="U4"/>
        <w:rPr>
          <w:rFonts w:ascii="Times New Roman" w:hAnsi="Times New Roman" w:cs="Times New Roman"/>
          <w:sz w:val="22"/>
          <w:szCs w:val="22"/>
        </w:rPr>
      </w:pPr>
    </w:p>
    <w:p w14:paraId="4828FB40" w14:textId="19EB3023" w:rsidR="00CB0A5A" w:rsidRPr="00FB414E" w:rsidRDefault="001079D4" w:rsidP="00873EC7">
      <w:pPr>
        <w:pStyle w:val="GS"/>
        <w:spacing w:line="288" w:lineRule="auto"/>
        <w:rPr>
          <w:sz w:val="22"/>
          <w:szCs w:val="22"/>
        </w:rPr>
      </w:pPr>
      <w:r w:rsidRPr="00FB414E">
        <w:rPr>
          <w:sz w:val="22"/>
          <w:szCs w:val="22"/>
        </w:rPr>
        <w:t xml:space="preserve">Im Rahmen der intertemporalen </w:t>
      </w:r>
      <w:r w:rsidR="003B41CB" w:rsidRPr="00FB414E">
        <w:rPr>
          <w:sz w:val="22"/>
          <w:szCs w:val="22"/>
        </w:rPr>
        <w:t xml:space="preserve">Betrachtung des öffentlichen Budget </w:t>
      </w:r>
      <w:r w:rsidR="000009AD" w:rsidRPr="00FB414E">
        <w:rPr>
          <w:sz w:val="22"/>
          <w:szCs w:val="22"/>
        </w:rPr>
        <w:t xml:space="preserve">wird oft die </w:t>
      </w:r>
      <w:r w:rsidR="00CB0A5A" w:rsidRPr="00FB414E">
        <w:rPr>
          <w:sz w:val="22"/>
          <w:szCs w:val="22"/>
        </w:rPr>
        <w:t>Tragfähigkeitslücke</w:t>
      </w:r>
      <w:r w:rsidR="000009AD" w:rsidRPr="00FB414E">
        <w:rPr>
          <w:sz w:val="22"/>
          <w:szCs w:val="22"/>
        </w:rPr>
        <w:t xml:space="preserve"> ermittelt. Diese kann</w:t>
      </w:r>
      <w:r w:rsidR="00CB0A5A" w:rsidRPr="00FB414E">
        <w:rPr>
          <w:sz w:val="22"/>
          <w:szCs w:val="22"/>
        </w:rPr>
        <w:t xml:space="preserve"> nicht nur über die Barwerte der zukünftigen Primärsalden, sondern auch über die </w:t>
      </w:r>
      <w:r w:rsidR="00CB0A5A" w:rsidRPr="00FB414E">
        <w:rPr>
          <w:b/>
          <w:bCs/>
          <w:sz w:val="22"/>
          <w:szCs w:val="22"/>
        </w:rPr>
        <w:t xml:space="preserve">Generationenkonten </w:t>
      </w:r>
      <w:r w:rsidR="00CB0A5A" w:rsidRPr="00FB414E">
        <w:rPr>
          <w:sz w:val="22"/>
          <w:szCs w:val="22"/>
        </w:rPr>
        <w:t xml:space="preserve">der lebenden und zukünftigen Generationen ermittelt werden. Diese Vorgehensweise hat den Vorteil, dass sie demographische Veränderungen berücksichtigt. Die in den umlagefinanzierten Sozialversicherungen verborgene Staatsverschuldung fällt vor allem dann ins Gewicht, wenn die Bevölkerung insgesamt altert oder schrumpft, wenn sich also die Relation von Beitragszahlern und Leistungsempfängern systematisch verschlechtert. </w:t>
      </w:r>
      <w:r w:rsidR="00CB0A5A" w:rsidRPr="00FB414E">
        <w:rPr>
          <w:b/>
          <w:bCs/>
          <w:sz w:val="22"/>
          <w:szCs w:val="22"/>
        </w:rPr>
        <w:t>Generationenbilanzen</w:t>
      </w:r>
      <w:r w:rsidR="00CB0A5A" w:rsidRPr="00FB414E">
        <w:rPr>
          <w:sz w:val="22"/>
          <w:szCs w:val="22"/>
        </w:rPr>
        <w:t xml:space="preserve"> werden dazu nach Jahrgängen gestaffelt ausgewiesen. „</w:t>
      </w:r>
      <w:r w:rsidR="00CB0A5A" w:rsidRPr="00FB414E">
        <w:rPr>
          <w:i/>
          <w:iCs/>
          <w:sz w:val="22"/>
          <w:szCs w:val="22"/>
        </w:rPr>
        <w:t>Ein positives Generationenkonto entspricht einer Nettozahlung; die geleisteten oder zu leistenden Abgaben übersteigen also barwertmäßig die empfangenen Transferleistungen und die sonstigen zurechenbaren staatlichen Ausgaben. Umgekehrt zeigt ein negatives Generationenkonto an, dass ein Mitglied dieser Generation in seiner verbleibenden Lebenszeit per Saldo mehr Leistungen vom Staat erhält als es Abgaben abführt.“ (SVR, 2003, Ziffer 443).</w:t>
      </w:r>
      <w:r w:rsidR="00CB0A5A" w:rsidRPr="00FB414E">
        <w:rPr>
          <w:sz w:val="22"/>
          <w:szCs w:val="22"/>
        </w:rPr>
        <w:t xml:space="preserve"> Derartige Bilanzen haben typischerweise einen </w:t>
      </w:r>
      <w:r w:rsidR="00CB0A5A" w:rsidRPr="00FB414E">
        <w:rPr>
          <w:b/>
          <w:bCs/>
          <w:sz w:val="22"/>
          <w:szCs w:val="22"/>
        </w:rPr>
        <w:t xml:space="preserve">sinusförmigen Verlauf </w:t>
      </w:r>
      <w:r w:rsidR="00CB0A5A" w:rsidRPr="00FB414E">
        <w:rPr>
          <w:sz w:val="22"/>
          <w:szCs w:val="22"/>
        </w:rPr>
        <w:t>(Abb. </w:t>
      </w:r>
      <w:r w:rsidR="00144900" w:rsidRPr="00FB414E">
        <w:rPr>
          <w:sz w:val="22"/>
          <w:szCs w:val="22"/>
        </w:rPr>
        <w:t>E.8.</w:t>
      </w:r>
      <w:r w:rsidR="006E7B50" w:rsidRPr="00FB414E">
        <w:rPr>
          <w:sz w:val="22"/>
          <w:szCs w:val="22"/>
        </w:rPr>
        <w:t>1</w:t>
      </w:r>
      <w:r w:rsidR="00CB0A5A" w:rsidRPr="00FB414E">
        <w:rPr>
          <w:sz w:val="22"/>
          <w:szCs w:val="22"/>
        </w:rPr>
        <w:t>):</w:t>
      </w:r>
    </w:p>
    <w:p w14:paraId="673B9932" w14:textId="42903672" w:rsidR="00CB0A5A" w:rsidRPr="00FB414E" w:rsidRDefault="00533DD0" w:rsidP="00873EC7">
      <w:pPr>
        <w:pStyle w:val="GS-Ebene1Punkt"/>
        <w:spacing w:line="288" w:lineRule="auto"/>
        <w:rPr>
          <w:sz w:val="22"/>
          <w:szCs w:val="22"/>
        </w:rPr>
      </w:pPr>
      <w:r w:rsidRPr="00FB414E">
        <w:rPr>
          <w:b/>
          <w:bCs/>
          <w:sz w:val="22"/>
          <w:szCs w:val="22"/>
        </w:rPr>
        <w:t>H</w:t>
      </w:r>
      <w:r w:rsidR="00CB0A5A" w:rsidRPr="00FB414E">
        <w:rPr>
          <w:b/>
          <w:bCs/>
          <w:sz w:val="22"/>
          <w:szCs w:val="22"/>
        </w:rPr>
        <w:t>eute Geborene</w:t>
      </w:r>
      <w:r w:rsidR="00CB0A5A" w:rsidRPr="00FB414E">
        <w:rPr>
          <w:sz w:val="22"/>
          <w:szCs w:val="22"/>
        </w:rPr>
        <w:t xml:space="preserve"> bekomm</w:t>
      </w:r>
      <w:r w:rsidRPr="00FB414E">
        <w:rPr>
          <w:sz w:val="22"/>
          <w:szCs w:val="22"/>
        </w:rPr>
        <w:t>en</w:t>
      </w:r>
      <w:r w:rsidR="00CB0A5A" w:rsidRPr="00FB414E">
        <w:rPr>
          <w:sz w:val="22"/>
          <w:szCs w:val="22"/>
        </w:rPr>
        <w:t xml:space="preserve"> über </w:t>
      </w:r>
      <w:r w:rsidRPr="00FB414E">
        <w:rPr>
          <w:sz w:val="22"/>
          <w:szCs w:val="22"/>
        </w:rPr>
        <w:t>da</w:t>
      </w:r>
      <w:r w:rsidR="00CB0A5A" w:rsidRPr="00FB414E">
        <w:rPr>
          <w:sz w:val="22"/>
          <w:szCs w:val="22"/>
        </w:rPr>
        <w:t>s verbleibende Leben einen Nettotransfer bzw. leiste</w:t>
      </w:r>
      <w:r w:rsidRPr="00FB414E">
        <w:rPr>
          <w:sz w:val="22"/>
          <w:szCs w:val="22"/>
        </w:rPr>
        <w:t>n</w:t>
      </w:r>
      <w:r w:rsidR="00CB0A5A" w:rsidRPr="00FB414E">
        <w:rPr>
          <w:sz w:val="22"/>
          <w:szCs w:val="22"/>
        </w:rPr>
        <w:t xml:space="preserve"> eine negative Nettosteuerzahlung an den Staat in Höhe (z. B. von 20.000 €). Dieser Betrag setzt sich wie folgt zusammen: D</w:t>
      </w:r>
      <w:r w:rsidRPr="00FB414E">
        <w:rPr>
          <w:sz w:val="22"/>
          <w:szCs w:val="22"/>
        </w:rPr>
        <w:t>i</w:t>
      </w:r>
      <w:r w:rsidR="00CB0A5A" w:rsidRPr="00FB414E">
        <w:rPr>
          <w:sz w:val="22"/>
          <w:szCs w:val="22"/>
        </w:rPr>
        <w:t>e Geborene</w:t>
      </w:r>
      <w:r w:rsidR="0054470B" w:rsidRPr="00FB414E">
        <w:rPr>
          <w:sz w:val="22"/>
          <w:szCs w:val="22"/>
        </w:rPr>
        <w:t>n</w:t>
      </w:r>
      <w:r w:rsidR="00CB0A5A" w:rsidRPr="00FB414E">
        <w:rPr>
          <w:sz w:val="22"/>
          <w:szCs w:val="22"/>
        </w:rPr>
        <w:t xml:space="preserve"> lieg</w:t>
      </w:r>
      <w:r w:rsidRPr="00FB414E">
        <w:rPr>
          <w:sz w:val="22"/>
          <w:szCs w:val="22"/>
        </w:rPr>
        <w:t>en</w:t>
      </w:r>
      <w:r w:rsidR="00CB0A5A" w:rsidRPr="00FB414E">
        <w:rPr>
          <w:sz w:val="22"/>
          <w:szCs w:val="22"/>
        </w:rPr>
        <w:t xml:space="preserve"> </w:t>
      </w:r>
      <w:r w:rsidRPr="00FB414E">
        <w:rPr>
          <w:sz w:val="22"/>
          <w:szCs w:val="22"/>
        </w:rPr>
        <w:t>zunächst</w:t>
      </w:r>
      <w:r w:rsidR="00CB0A5A" w:rsidRPr="00FB414E">
        <w:rPr>
          <w:sz w:val="22"/>
          <w:szCs w:val="22"/>
        </w:rPr>
        <w:t xml:space="preserve"> im Kreißsaal</w:t>
      </w:r>
      <w:r w:rsidR="0054470B" w:rsidRPr="00FB414E">
        <w:rPr>
          <w:sz w:val="22"/>
          <w:szCs w:val="22"/>
        </w:rPr>
        <w:t xml:space="preserve"> und verursachen dort Kosten</w:t>
      </w:r>
      <w:r w:rsidR="00FB63C8" w:rsidRPr="00FB414E">
        <w:rPr>
          <w:sz w:val="22"/>
          <w:szCs w:val="22"/>
        </w:rPr>
        <w:t xml:space="preserve">, die in dem durch den Staat getragenen Gesundheitssystem </w:t>
      </w:r>
      <w:r w:rsidR="00E2660A" w:rsidRPr="00FB414E">
        <w:rPr>
          <w:sz w:val="22"/>
          <w:szCs w:val="22"/>
        </w:rPr>
        <w:t>getragen werden.</w:t>
      </w:r>
      <w:r w:rsidR="00CB0A5A" w:rsidRPr="00FB414E">
        <w:rPr>
          <w:sz w:val="22"/>
          <w:szCs w:val="22"/>
        </w:rPr>
        <w:t xml:space="preserve"> </w:t>
      </w:r>
      <w:r w:rsidR="00E2660A" w:rsidRPr="00FB414E">
        <w:rPr>
          <w:sz w:val="22"/>
          <w:szCs w:val="22"/>
        </w:rPr>
        <w:t xml:space="preserve">Sie </w:t>
      </w:r>
      <w:r w:rsidR="00CB0A5A" w:rsidRPr="00FB414E">
        <w:rPr>
          <w:sz w:val="22"/>
          <w:szCs w:val="22"/>
        </w:rPr>
        <w:t>geh</w:t>
      </w:r>
      <w:r w:rsidRPr="00FB414E">
        <w:rPr>
          <w:sz w:val="22"/>
          <w:szCs w:val="22"/>
        </w:rPr>
        <w:t>en</w:t>
      </w:r>
      <w:r w:rsidR="00CB0A5A" w:rsidRPr="00FB414E">
        <w:rPr>
          <w:sz w:val="22"/>
          <w:szCs w:val="22"/>
        </w:rPr>
        <w:t xml:space="preserve"> anschließend in den Kindergarten und </w:t>
      </w:r>
      <w:r w:rsidRPr="00FB414E">
        <w:rPr>
          <w:sz w:val="22"/>
          <w:szCs w:val="22"/>
        </w:rPr>
        <w:t xml:space="preserve">in </w:t>
      </w:r>
      <w:r w:rsidR="00CB0A5A" w:rsidRPr="00FB414E">
        <w:rPr>
          <w:sz w:val="22"/>
          <w:szCs w:val="22"/>
        </w:rPr>
        <w:t>die Schule. Bis dahin verursach</w:t>
      </w:r>
      <w:r w:rsidRPr="00FB414E">
        <w:rPr>
          <w:sz w:val="22"/>
          <w:szCs w:val="22"/>
        </w:rPr>
        <w:t>en sie</w:t>
      </w:r>
      <w:r w:rsidR="00CB0A5A" w:rsidRPr="00FB414E">
        <w:rPr>
          <w:sz w:val="22"/>
          <w:szCs w:val="22"/>
        </w:rPr>
        <w:t xml:space="preserve"> volkswirtschaftlich betrachtet Koste</w:t>
      </w:r>
      <w:r w:rsidR="00CE76C6" w:rsidRPr="00FB414E">
        <w:rPr>
          <w:sz w:val="22"/>
          <w:szCs w:val="22"/>
        </w:rPr>
        <w:t>n</w:t>
      </w:r>
      <w:r w:rsidR="00CB0A5A" w:rsidRPr="00FB414E">
        <w:rPr>
          <w:sz w:val="22"/>
          <w:szCs w:val="22"/>
        </w:rPr>
        <w:t>. Nach der Ausbildung w</w:t>
      </w:r>
      <w:r w:rsidRPr="00FB414E">
        <w:rPr>
          <w:sz w:val="22"/>
          <w:szCs w:val="22"/>
        </w:rPr>
        <w:t>erden sie</w:t>
      </w:r>
      <w:r w:rsidR="00CB0A5A" w:rsidRPr="00FB414E">
        <w:rPr>
          <w:sz w:val="22"/>
          <w:szCs w:val="22"/>
        </w:rPr>
        <w:t xml:space="preserve"> arbeiten und Steuern bzw. Sozialabgaben leisten. Wenn </w:t>
      </w:r>
      <w:r w:rsidRPr="00FB414E">
        <w:rPr>
          <w:sz w:val="22"/>
          <w:szCs w:val="22"/>
        </w:rPr>
        <w:t>sie</w:t>
      </w:r>
      <w:r w:rsidR="00CB0A5A" w:rsidRPr="00FB414E">
        <w:rPr>
          <w:sz w:val="22"/>
          <w:szCs w:val="22"/>
        </w:rPr>
        <w:t xml:space="preserve"> in Rente geh</w:t>
      </w:r>
      <w:r w:rsidRPr="00FB414E">
        <w:rPr>
          <w:sz w:val="22"/>
          <w:szCs w:val="22"/>
        </w:rPr>
        <w:t>en</w:t>
      </w:r>
      <w:r w:rsidR="00CB0A5A" w:rsidRPr="00FB414E">
        <w:rPr>
          <w:sz w:val="22"/>
          <w:szCs w:val="22"/>
        </w:rPr>
        <w:t>, verursach</w:t>
      </w:r>
      <w:r w:rsidRPr="00FB414E">
        <w:rPr>
          <w:sz w:val="22"/>
          <w:szCs w:val="22"/>
        </w:rPr>
        <w:t>en sie</w:t>
      </w:r>
      <w:r w:rsidR="00CB0A5A" w:rsidRPr="00FB414E">
        <w:rPr>
          <w:sz w:val="22"/>
          <w:szCs w:val="22"/>
        </w:rPr>
        <w:t xml:space="preserve"> „Kosten“, d. h. erh</w:t>
      </w:r>
      <w:r w:rsidRPr="00FB414E">
        <w:rPr>
          <w:sz w:val="22"/>
          <w:szCs w:val="22"/>
        </w:rPr>
        <w:t>alten</w:t>
      </w:r>
      <w:r w:rsidR="00CB0A5A" w:rsidRPr="00FB414E">
        <w:rPr>
          <w:sz w:val="22"/>
          <w:szCs w:val="22"/>
        </w:rPr>
        <w:t xml:space="preserve"> Zahlungen vom Staat. </w:t>
      </w:r>
    </w:p>
    <w:p w14:paraId="7470EFEC" w14:textId="2CD5139D" w:rsidR="00CB0A5A" w:rsidRPr="00FB414E" w:rsidRDefault="00CB0A5A" w:rsidP="00873EC7">
      <w:pPr>
        <w:pStyle w:val="GS-Ebene1Punkt"/>
        <w:spacing w:line="288" w:lineRule="auto"/>
        <w:rPr>
          <w:sz w:val="22"/>
          <w:szCs w:val="22"/>
        </w:rPr>
      </w:pPr>
      <w:r w:rsidRPr="00FB414E">
        <w:rPr>
          <w:sz w:val="22"/>
          <w:szCs w:val="22"/>
        </w:rPr>
        <w:t xml:space="preserve">Für heute 10-Jährige stellt sich der Betrag leicht positiv dar. Für </w:t>
      </w:r>
      <w:r w:rsidR="00533DD0" w:rsidRPr="00FB414E">
        <w:rPr>
          <w:sz w:val="22"/>
          <w:szCs w:val="22"/>
        </w:rPr>
        <w:t>sie</w:t>
      </w:r>
      <w:r w:rsidRPr="00FB414E">
        <w:rPr>
          <w:sz w:val="22"/>
          <w:szCs w:val="22"/>
        </w:rPr>
        <w:t xml:space="preserve"> entfallen </w:t>
      </w:r>
      <w:r w:rsidR="00533DD0" w:rsidRPr="00FB414E">
        <w:rPr>
          <w:sz w:val="22"/>
          <w:szCs w:val="22"/>
        </w:rPr>
        <w:t xml:space="preserve">die </w:t>
      </w:r>
      <w:r w:rsidRPr="00FB414E">
        <w:rPr>
          <w:sz w:val="22"/>
          <w:szCs w:val="22"/>
        </w:rPr>
        <w:t xml:space="preserve">Zahlungen, die Geborene </w:t>
      </w:r>
      <w:r w:rsidR="00533DD0" w:rsidRPr="00FB414E">
        <w:rPr>
          <w:sz w:val="22"/>
          <w:szCs w:val="22"/>
        </w:rPr>
        <w:t xml:space="preserve">zunächst </w:t>
      </w:r>
      <w:r w:rsidR="001F091F" w:rsidRPr="00FB414E">
        <w:rPr>
          <w:sz w:val="22"/>
          <w:szCs w:val="22"/>
        </w:rPr>
        <w:t xml:space="preserve">im </w:t>
      </w:r>
      <w:r w:rsidRPr="00FB414E">
        <w:rPr>
          <w:sz w:val="22"/>
          <w:szCs w:val="22"/>
        </w:rPr>
        <w:t xml:space="preserve">Kreissaal, </w:t>
      </w:r>
      <w:r w:rsidR="00533DD0" w:rsidRPr="00FB414E">
        <w:rPr>
          <w:sz w:val="22"/>
          <w:szCs w:val="22"/>
        </w:rPr>
        <w:t xml:space="preserve">dann </w:t>
      </w:r>
      <w:r w:rsidRPr="00FB414E">
        <w:rPr>
          <w:sz w:val="22"/>
          <w:szCs w:val="22"/>
        </w:rPr>
        <w:t>im Kindergarten und bis dahin in der Schule verursacht ha</w:t>
      </w:r>
      <w:r w:rsidR="00533DD0" w:rsidRPr="00FB414E">
        <w:rPr>
          <w:sz w:val="22"/>
          <w:szCs w:val="22"/>
        </w:rPr>
        <w:t>ben</w:t>
      </w:r>
      <w:r w:rsidRPr="00FB414E">
        <w:rPr>
          <w:sz w:val="22"/>
          <w:szCs w:val="22"/>
        </w:rPr>
        <w:t xml:space="preserve">. Da diese Zahlungen in Vergangenheit liegen, werden sie </w:t>
      </w:r>
      <w:r w:rsidRPr="00FB414E">
        <w:rPr>
          <w:b/>
          <w:bCs/>
          <w:sz w:val="22"/>
          <w:szCs w:val="22"/>
        </w:rPr>
        <w:t xml:space="preserve">nicht </w:t>
      </w:r>
      <w:r w:rsidRPr="00FB414E">
        <w:rPr>
          <w:sz w:val="22"/>
          <w:szCs w:val="22"/>
        </w:rPr>
        <w:t>berücksichtigt. Aus diesem Grund können die Balken nicht verglichen werden. Sie geben lediglich Auskunft darüber, wer wie viel an den Staat zahlt und vom Staat bekommt. Diese Angaben beziehen sich nicht auf ein Jahr, sondern auf das verbleibende Leben. Deshalb sind die Annahmen über das zukünftige Wachstum und die Höhe des Zinses wichtig, mit dem die zukünftigen Zahlungen bzw. Transfers abdiskontiert werden (Ermittlung von Gegenwartswerten).</w:t>
      </w:r>
    </w:p>
    <w:p w14:paraId="2BB12BFE" w14:textId="77777777" w:rsidR="00CB0A5A" w:rsidRPr="00FB414E" w:rsidRDefault="00533DD0" w:rsidP="00873EC7">
      <w:pPr>
        <w:pStyle w:val="GS-Ebene1Punkt"/>
        <w:spacing w:line="288" w:lineRule="auto"/>
        <w:rPr>
          <w:sz w:val="22"/>
          <w:szCs w:val="22"/>
        </w:rPr>
      </w:pPr>
      <w:r w:rsidRPr="00FB414E">
        <w:rPr>
          <w:sz w:val="22"/>
          <w:szCs w:val="22"/>
        </w:rPr>
        <w:t>H</w:t>
      </w:r>
      <w:r w:rsidR="00CB0A5A" w:rsidRPr="00FB414E">
        <w:rPr>
          <w:sz w:val="22"/>
          <w:szCs w:val="22"/>
        </w:rPr>
        <w:t>eute 25-Jährige leiste</w:t>
      </w:r>
      <w:r w:rsidRPr="00FB414E">
        <w:rPr>
          <w:sz w:val="22"/>
          <w:szCs w:val="22"/>
        </w:rPr>
        <w:t>n</w:t>
      </w:r>
      <w:r w:rsidR="00CB0A5A" w:rsidRPr="00FB414E">
        <w:rPr>
          <w:sz w:val="22"/>
          <w:szCs w:val="22"/>
        </w:rPr>
        <w:t xml:space="preserve"> hier die größte Nettosteuerzahlung über </w:t>
      </w:r>
      <w:r w:rsidRPr="00FB414E">
        <w:rPr>
          <w:sz w:val="22"/>
          <w:szCs w:val="22"/>
        </w:rPr>
        <w:t>das</w:t>
      </w:r>
      <w:r w:rsidR="00CB0A5A" w:rsidRPr="00FB414E">
        <w:rPr>
          <w:sz w:val="22"/>
          <w:szCs w:val="22"/>
        </w:rPr>
        <w:t xml:space="preserve"> verbleibende Leben (z. B. 100.000 €). Das liegt daran, dass Kreissaal, Kindergarten, Schule, Ausbildung und andere staatliche Ausgaben für </w:t>
      </w:r>
      <w:r w:rsidRPr="00FB414E">
        <w:rPr>
          <w:sz w:val="22"/>
          <w:szCs w:val="22"/>
        </w:rPr>
        <w:t>sie</w:t>
      </w:r>
      <w:r w:rsidR="00CB0A5A" w:rsidRPr="00FB414E">
        <w:rPr>
          <w:sz w:val="22"/>
          <w:szCs w:val="22"/>
        </w:rPr>
        <w:t xml:space="preserve"> nicht mehr berücksichtigt werden. Das Rentenalter liegt noch in weiter Ferne. Folglich überwiegen die Zahlungen, die an den Staat zu leisten sind (Steuern und Sozialabgaben). </w:t>
      </w:r>
    </w:p>
    <w:p w14:paraId="46F18178" w14:textId="77777777" w:rsidR="00CB0A5A" w:rsidRPr="00FB414E" w:rsidRDefault="00CB0A5A" w:rsidP="00873EC7">
      <w:pPr>
        <w:pStyle w:val="GS-Ebene1Punkt"/>
        <w:spacing w:line="288" w:lineRule="auto"/>
        <w:rPr>
          <w:sz w:val="22"/>
          <w:szCs w:val="22"/>
        </w:rPr>
      </w:pPr>
      <w:r w:rsidRPr="00FB414E">
        <w:rPr>
          <w:sz w:val="22"/>
          <w:szCs w:val="22"/>
        </w:rPr>
        <w:t>Der „Höchstbetrag“ (hier bei 25 Jahren) nimmt bei den folgenden Jahrgängen ab, weil das Rentenalter näher rückt. Die Belastung kehrt sich schrittweise in Nettotransfers um und erreicht in unserem Beispiel einen maximalen Wert von 150.000 € bei heute 65-Jährigen. Diese ha</w:t>
      </w:r>
      <w:r w:rsidR="009E3E46" w:rsidRPr="00FB414E">
        <w:rPr>
          <w:sz w:val="22"/>
          <w:szCs w:val="22"/>
        </w:rPr>
        <w:t>ben ihre</w:t>
      </w:r>
      <w:r w:rsidRPr="00FB414E">
        <w:rPr>
          <w:sz w:val="22"/>
          <w:szCs w:val="22"/>
        </w:rPr>
        <w:t xml:space="preserve"> Steuern und Sozialabgaben schon geleistet und ha</w:t>
      </w:r>
      <w:r w:rsidR="009E3E46" w:rsidRPr="00FB414E">
        <w:rPr>
          <w:sz w:val="22"/>
          <w:szCs w:val="22"/>
        </w:rPr>
        <w:t xml:space="preserve">ben </w:t>
      </w:r>
      <w:r w:rsidRPr="00FB414E">
        <w:rPr>
          <w:sz w:val="22"/>
          <w:szCs w:val="22"/>
        </w:rPr>
        <w:t>die gesamt Rentenauszahlung noch vor sich. Mit zunehmendem Alter nehmen die Balken wieder ab, weil z. B. heute 70-</w:t>
      </w:r>
      <w:r w:rsidR="009E3E46" w:rsidRPr="00FB414E">
        <w:rPr>
          <w:sz w:val="22"/>
          <w:szCs w:val="22"/>
        </w:rPr>
        <w:t>J</w:t>
      </w:r>
      <w:r w:rsidRPr="00FB414E">
        <w:rPr>
          <w:sz w:val="22"/>
          <w:szCs w:val="22"/>
        </w:rPr>
        <w:t>ährige fünf Jahre weniger Rentenbezüge vor sich ha</w:t>
      </w:r>
      <w:r w:rsidR="009E3E46" w:rsidRPr="00FB414E">
        <w:rPr>
          <w:sz w:val="22"/>
          <w:szCs w:val="22"/>
        </w:rPr>
        <w:t>ben</w:t>
      </w:r>
      <w:r w:rsidRPr="00FB414E">
        <w:rPr>
          <w:sz w:val="22"/>
          <w:szCs w:val="22"/>
        </w:rPr>
        <w:t xml:space="preserve"> als 65-Jährige, d</w:t>
      </w:r>
      <w:r w:rsidR="009E3E46" w:rsidRPr="00FB414E">
        <w:rPr>
          <w:sz w:val="22"/>
          <w:szCs w:val="22"/>
        </w:rPr>
        <w:t>i</w:t>
      </w:r>
      <w:r w:rsidRPr="00FB414E">
        <w:rPr>
          <w:sz w:val="22"/>
          <w:szCs w:val="22"/>
        </w:rPr>
        <w:t>e gerade in die Rente eintr</w:t>
      </w:r>
      <w:r w:rsidR="009E3E46" w:rsidRPr="00FB414E">
        <w:rPr>
          <w:sz w:val="22"/>
          <w:szCs w:val="22"/>
        </w:rPr>
        <w:t>eten</w:t>
      </w:r>
      <w:r w:rsidRPr="00FB414E">
        <w:rPr>
          <w:sz w:val="22"/>
          <w:szCs w:val="22"/>
        </w:rPr>
        <w:t>.</w:t>
      </w:r>
    </w:p>
    <w:p w14:paraId="3A00BC66" w14:textId="77777777" w:rsidR="00873EC7" w:rsidRPr="00FB414E" w:rsidRDefault="00873EC7" w:rsidP="00873EC7">
      <w:pPr>
        <w:pStyle w:val="GS-Ebene1Punkt"/>
        <w:numPr>
          <w:ilvl w:val="0"/>
          <w:numId w:val="0"/>
        </w:numPr>
        <w:spacing w:line="288" w:lineRule="auto"/>
        <w:ind w:left="227"/>
        <w:rPr>
          <w:sz w:val="22"/>
          <w:szCs w:val="22"/>
        </w:rPr>
      </w:pPr>
    </w:p>
    <w:p w14:paraId="49486CCC" w14:textId="77777777" w:rsidR="00CB0A5A" w:rsidRPr="00FB414E" w:rsidRDefault="00ED1460" w:rsidP="00873EC7">
      <w:pPr>
        <w:pStyle w:val="BU"/>
        <w:spacing w:line="288" w:lineRule="auto"/>
        <w:rPr>
          <w:rFonts w:ascii="Times New Roman" w:hAnsi="Times New Roman" w:cs="Times New Roman"/>
          <w:sz w:val="22"/>
          <w:szCs w:val="22"/>
        </w:rPr>
      </w:pPr>
      <w:r w:rsidRPr="00FB414E">
        <w:rPr>
          <w:rFonts w:ascii="Times New Roman" w:hAnsi="Times New Roman" w:cs="Times New Roman"/>
          <w:noProof/>
          <w:sz w:val="22"/>
          <w:szCs w:val="22"/>
        </w:rPr>
        <w:lastRenderedPageBreak/>
        <w:drawing>
          <wp:inline distT="0" distB="0" distL="0" distR="0" wp14:anchorId="46E8452E" wp14:editId="0291BD3C">
            <wp:extent cx="4572000" cy="28384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b="17222"/>
                    <a:stretch/>
                  </pic:blipFill>
                  <pic:spPr bwMode="auto">
                    <a:xfrm>
                      <a:off x="0" y="0"/>
                      <a:ext cx="4572396" cy="2838696"/>
                    </a:xfrm>
                    <a:prstGeom prst="rect">
                      <a:avLst/>
                    </a:prstGeom>
                    <a:ln>
                      <a:noFill/>
                    </a:ln>
                    <a:extLst>
                      <a:ext uri="{53640926-AAD7-44D8-BBD7-CCE9431645EC}">
                        <a14:shadowObscured xmlns:a14="http://schemas.microsoft.com/office/drawing/2010/main"/>
                      </a:ext>
                    </a:extLst>
                  </pic:spPr>
                </pic:pic>
              </a:graphicData>
            </a:graphic>
          </wp:inline>
        </w:drawing>
      </w:r>
    </w:p>
    <w:p w14:paraId="7A829C7B" w14:textId="77777777" w:rsidR="00873EC7" w:rsidRPr="00FB414E" w:rsidRDefault="00873EC7" w:rsidP="00873EC7">
      <w:pPr>
        <w:pStyle w:val="BU"/>
        <w:pBdr>
          <w:top w:val="none" w:sz="0" w:space="0" w:color="auto"/>
          <w:left w:val="none" w:sz="0" w:space="0" w:color="auto"/>
          <w:bottom w:val="none" w:sz="0" w:space="0" w:color="auto"/>
          <w:right w:val="none" w:sz="0" w:space="0" w:color="auto"/>
        </w:pBdr>
        <w:spacing w:line="288" w:lineRule="auto"/>
        <w:rPr>
          <w:rFonts w:ascii="Times New Roman" w:hAnsi="Times New Roman" w:cs="Times New Roman"/>
          <w:sz w:val="22"/>
          <w:szCs w:val="22"/>
        </w:rPr>
      </w:pPr>
      <w:r w:rsidRPr="00FB414E">
        <w:rPr>
          <w:rFonts w:ascii="Times New Roman" w:hAnsi="Times New Roman" w:cs="Times New Roman"/>
          <w:sz w:val="22"/>
          <w:szCs w:val="22"/>
        </w:rPr>
        <w:t>Abb. E.8.1: Idealtypischer Verlauf einer Generationenbilanz</w:t>
      </w:r>
    </w:p>
    <w:p w14:paraId="21A08879" w14:textId="6C808008" w:rsidR="00CB0A5A" w:rsidRPr="00FB414E" w:rsidRDefault="00CB0A5A" w:rsidP="00873EC7">
      <w:pPr>
        <w:pStyle w:val="GS"/>
        <w:spacing w:line="288" w:lineRule="auto"/>
        <w:rPr>
          <w:sz w:val="22"/>
          <w:szCs w:val="22"/>
        </w:rPr>
      </w:pPr>
      <w:r w:rsidRPr="00FB414E">
        <w:rPr>
          <w:sz w:val="22"/>
          <w:szCs w:val="22"/>
        </w:rPr>
        <w:t>Da alle vergangenen, vor dem Basisjahr geleisteten Zahlungen und empfangenen öffentlichen Leistungen in den Generationenkonten außer Acht gelassen werden (es finden nur die gegenwärtigen und zukünftigen Zahlungsströme Berücksichtigung), können Generationenkonten für unterschiedliche, vor dem Basisjahr geborene Alterskohorten nicht sinnvoll miteinander verglichen werden. Gleichwohl vermitteln die Generationenkonten für sich genommen interessante Informationen. Wenn statt der Niveaus die Veränderungen der Generationenkonten aufgrund von Politikmaßnahmen betrachtet werden, können die Nettozahlungen oder Nettotransfers auch sinnvoll für alle Alterskohorten verglichen werden. Summiert man die mit der jeweiligen Jahrgangsstärke gewichteten Nettotransfers und Nettozahlungen aller heute und zukünftig lebenden Generationen, entspricht dies dem Barwert der staatlichen Primärsalden und damit den impliziten Schulden. Durch Addition des expliziten Schuldenstands erhält man dann die Tragfähigkeitslücke. Gerechtigkeitsurteile</w:t>
      </w:r>
      <w:r w:rsidR="00BF29FE" w:rsidRPr="00FB414E">
        <w:rPr>
          <w:sz w:val="22"/>
          <w:szCs w:val="22"/>
        </w:rPr>
        <w:t xml:space="preserve"> –</w:t>
      </w:r>
      <w:r w:rsidRPr="00FB414E">
        <w:rPr>
          <w:sz w:val="22"/>
          <w:szCs w:val="22"/>
        </w:rPr>
        <w:t xml:space="preserve"> inter</w:t>
      </w:r>
      <w:r w:rsidR="00BF29FE" w:rsidRPr="00FB414E">
        <w:rPr>
          <w:sz w:val="22"/>
          <w:szCs w:val="22"/>
        </w:rPr>
        <w:t>-</w:t>
      </w:r>
      <w:r w:rsidRPr="00FB414E">
        <w:rPr>
          <w:sz w:val="22"/>
          <w:szCs w:val="22"/>
        </w:rPr>
        <w:t xml:space="preserve"> oder intragenerative</w:t>
      </w:r>
      <w:r w:rsidR="00BF29FE" w:rsidRPr="00FB414E">
        <w:rPr>
          <w:sz w:val="22"/>
          <w:szCs w:val="22"/>
        </w:rPr>
        <w:t xml:space="preserve"> –</w:t>
      </w:r>
      <w:r w:rsidRPr="00FB414E">
        <w:rPr>
          <w:sz w:val="22"/>
          <w:szCs w:val="22"/>
        </w:rPr>
        <w:t xml:space="preserve"> sind damit zunächst nicht verbunden. Sie werden erst im Zusammenhang mit konkreten Maßnahmen zur Schließung oder Reduzierung der Tragfähigkeitslücke relevant. Wie die Lasten zur Beseitigung einer nicht tragfähigen Finanzpolitik auf unterschiedliche Haushaltsgruppen oder auf gegenwärtige und zukünftige Generationen verteilt werden, muss letztlich politisch entschieden werden. </w:t>
      </w:r>
    </w:p>
    <w:p w14:paraId="26A04C45" w14:textId="17A4C785" w:rsidR="00CB0A5A" w:rsidRPr="00873EC7" w:rsidRDefault="00CB0A5A" w:rsidP="00873EC7">
      <w:pPr>
        <w:pStyle w:val="GS"/>
        <w:spacing w:line="288" w:lineRule="auto"/>
        <w:rPr>
          <w:sz w:val="22"/>
          <w:szCs w:val="22"/>
        </w:rPr>
      </w:pPr>
      <w:r w:rsidRPr="00FB414E">
        <w:rPr>
          <w:sz w:val="22"/>
          <w:szCs w:val="22"/>
        </w:rPr>
        <w:t>Die Wissenschaft kann nur die durch bestimmte Maßnahmen hervorgerufenen Verteilungseffekte aufzeigen. Politik und Öffentlichkeit gewinnen so einen Eindruck vom Ausmaß der Konsolidierungsnotwendigkeit und von den Konsolidierungserfolgen bestimmter Maßnahmen. So zeigen Berechnungen, dass die Tragfähigkeit der Systeme erhöht wird, wenn das Rentenalter – z. B. von 65 auf 67 Jahre – und ein Nachhaltigkeitsfaktor</w:t>
      </w:r>
      <w:r w:rsidR="001F5CB2" w:rsidRPr="00FB414E">
        <w:rPr>
          <w:sz w:val="22"/>
          <w:szCs w:val="22"/>
        </w:rPr>
        <w:t xml:space="preserve"> – der die jährliche Rentenanpassung entsprechend der Veränderung des Verhältnisses der Beitragszahler zu den Rentenbeziehern beeinflusst –</w:t>
      </w:r>
      <w:r w:rsidRPr="00FB414E">
        <w:rPr>
          <w:sz w:val="22"/>
          <w:szCs w:val="22"/>
        </w:rPr>
        <w:t xml:space="preserve"> in die Rentenformel eingebaut wird.</w:t>
      </w:r>
    </w:p>
    <w:p w14:paraId="6E9AC363" w14:textId="77777777" w:rsidR="00146ABF" w:rsidRPr="00873EC7" w:rsidRDefault="00146ABF" w:rsidP="00873EC7">
      <w:pPr>
        <w:spacing w:line="288" w:lineRule="auto"/>
        <w:rPr>
          <w:rFonts w:ascii="Times New Roman" w:hAnsi="Times New Roman"/>
        </w:rPr>
      </w:pPr>
    </w:p>
    <w:sectPr w:rsidR="00146ABF" w:rsidRPr="00873EC7">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017C1" w14:textId="77777777" w:rsidR="00FB414E" w:rsidRDefault="00FB414E" w:rsidP="00FB414E">
      <w:pPr>
        <w:spacing w:after="0" w:line="240" w:lineRule="auto"/>
      </w:pPr>
      <w:r>
        <w:separator/>
      </w:r>
    </w:p>
  </w:endnote>
  <w:endnote w:type="continuationSeparator" w:id="0">
    <w:p w14:paraId="63B95F45" w14:textId="77777777" w:rsidR="00FB414E" w:rsidRDefault="00FB414E" w:rsidP="00FB41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4EAA9" w14:textId="77777777" w:rsidR="00FB414E" w:rsidRDefault="00FB414E" w:rsidP="00FB414E">
      <w:pPr>
        <w:spacing w:after="0" w:line="240" w:lineRule="auto"/>
      </w:pPr>
      <w:r>
        <w:separator/>
      </w:r>
    </w:p>
  </w:footnote>
  <w:footnote w:type="continuationSeparator" w:id="0">
    <w:p w14:paraId="2FBF96C0" w14:textId="77777777" w:rsidR="00FB414E" w:rsidRDefault="00FB414E" w:rsidP="00FB41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8333356"/>
      <w:docPartObj>
        <w:docPartGallery w:val="Page Numbers (Top of Page)"/>
        <w:docPartUnique/>
      </w:docPartObj>
    </w:sdtPr>
    <w:sdtContent>
      <w:p w14:paraId="7D27D1E3" w14:textId="361A1DD0" w:rsidR="00FB414E" w:rsidRDefault="00FB414E">
        <w:pPr>
          <w:pStyle w:val="Kopfzeile"/>
          <w:jc w:val="right"/>
        </w:pPr>
        <w:r>
          <w:fldChar w:fldCharType="begin"/>
        </w:r>
        <w:r>
          <w:instrText>PAGE   \* MERGEFORMAT</w:instrText>
        </w:r>
        <w:r>
          <w:fldChar w:fldCharType="separate"/>
        </w:r>
        <w:r>
          <w:t>2</w:t>
        </w:r>
        <w:r>
          <w:fldChar w:fldCharType="end"/>
        </w:r>
      </w:p>
    </w:sdtContent>
  </w:sdt>
  <w:p w14:paraId="5B7AF30F" w14:textId="77777777" w:rsidR="00FB414E" w:rsidRDefault="00FB414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864EE"/>
    <w:multiLevelType w:val="hybridMultilevel"/>
    <w:tmpl w:val="D6C021C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6B71167"/>
    <w:multiLevelType w:val="hybridMultilevel"/>
    <w:tmpl w:val="98743F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1310C0A"/>
    <w:multiLevelType w:val="hybridMultilevel"/>
    <w:tmpl w:val="AB66D2BA"/>
    <w:lvl w:ilvl="0" w:tplc="0407000F">
      <w:start w:val="1"/>
      <w:numFmt w:val="decimal"/>
      <w:pStyle w:val="GS-Ebene1Punkt"/>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AE34F99"/>
    <w:multiLevelType w:val="hybridMultilevel"/>
    <w:tmpl w:val="18363976"/>
    <w:lvl w:ilvl="0" w:tplc="50902E54">
      <w:start w:val="1"/>
      <w:numFmt w:val="bullet"/>
      <w:pStyle w:val="Widm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B6C5930"/>
    <w:multiLevelType w:val="hybridMultilevel"/>
    <w:tmpl w:val="AE8EFC78"/>
    <w:lvl w:ilvl="0" w:tplc="04070017">
      <w:start w:val="1"/>
      <w:numFmt w:val="lowerLetter"/>
      <w:pStyle w:val="Schlagwr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5B32247"/>
    <w:multiLevelType w:val="hybridMultilevel"/>
    <w:tmpl w:val="73E21500"/>
    <w:lvl w:ilvl="0" w:tplc="0C2A20E8">
      <w:start w:val="1"/>
      <w:numFmt w:val="bullet"/>
      <w:pStyle w:val="Tab-Text-zentrier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A957DDB"/>
    <w:multiLevelType w:val="hybridMultilevel"/>
    <w:tmpl w:val="AB66D2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676737785">
    <w:abstractNumId w:val="6"/>
  </w:num>
  <w:num w:numId="2" w16cid:durableId="566962391">
    <w:abstractNumId w:val="2"/>
  </w:num>
  <w:num w:numId="3" w16cid:durableId="1898543805">
    <w:abstractNumId w:val="3"/>
  </w:num>
  <w:num w:numId="4" w16cid:durableId="1829787595">
    <w:abstractNumId w:val="5"/>
  </w:num>
  <w:num w:numId="5" w16cid:durableId="257687665">
    <w:abstractNumId w:val="4"/>
  </w:num>
  <w:num w:numId="6" w16cid:durableId="185601708">
    <w:abstractNumId w:val="1"/>
  </w:num>
  <w:num w:numId="7" w16cid:durableId="4524032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CF5"/>
    <w:rsid w:val="000005D3"/>
    <w:rsid w:val="000009AD"/>
    <w:rsid w:val="00081B74"/>
    <w:rsid w:val="0009353A"/>
    <w:rsid w:val="00097FDD"/>
    <w:rsid w:val="000D074D"/>
    <w:rsid w:val="000D65D9"/>
    <w:rsid w:val="000F5FA3"/>
    <w:rsid w:val="001079D4"/>
    <w:rsid w:val="00144900"/>
    <w:rsid w:val="00146ABF"/>
    <w:rsid w:val="001471F4"/>
    <w:rsid w:val="0016571C"/>
    <w:rsid w:val="00173F1F"/>
    <w:rsid w:val="00191C2A"/>
    <w:rsid w:val="001D2414"/>
    <w:rsid w:val="001E3C8B"/>
    <w:rsid w:val="001F091F"/>
    <w:rsid w:val="001F5CB2"/>
    <w:rsid w:val="002161E4"/>
    <w:rsid w:val="00216A0B"/>
    <w:rsid w:val="0024248A"/>
    <w:rsid w:val="002665BC"/>
    <w:rsid w:val="00273A7F"/>
    <w:rsid w:val="00283001"/>
    <w:rsid w:val="002A7003"/>
    <w:rsid w:val="002B6C87"/>
    <w:rsid w:val="002B6DB6"/>
    <w:rsid w:val="002C1D0B"/>
    <w:rsid w:val="002D7F63"/>
    <w:rsid w:val="003144E1"/>
    <w:rsid w:val="003223AF"/>
    <w:rsid w:val="00323FB3"/>
    <w:rsid w:val="00335F16"/>
    <w:rsid w:val="00335FEB"/>
    <w:rsid w:val="0034631F"/>
    <w:rsid w:val="00356079"/>
    <w:rsid w:val="00372FCC"/>
    <w:rsid w:val="00377699"/>
    <w:rsid w:val="0038060E"/>
    <w:rsid w:val="00386E86"/>
    <w:rsid w:val="003A0935"/>
    <w:rsid w:val="003B12BB"/>
    <w:rsid w:val="003B1D82"/>
    <w:rsid w:val="003B41CB"/>
    <w:rsid w:val="003C3E35"/>
    <w:rsid w:val="003D42C8"/>
    <w:rsid w:val="003D6598"/>
    <w:rsid w:val="003E321C"/>
    <w:rsid w:val="00414C3F"/>
    <w:rsid w:val="00417A41"/>
    <w:rsid w:val="004318CD"/>
    <w:rsid w:val="00433E66"/>
    <w:rsid w:val="004526BB"/>
    <w:rsid w:val="00462ACF"/>
    <w:rsid w:val="00465D39"/>
    <w:rsid w:val="00476EC4"/>
    <w:rsid w:val="004808B0"/>
    <w:rsid w:val="0048443B"/>
    <w:rsid w:val="004868CC"/>
    <w:rsid w:val="004D1DAC"/>
    <w:rsid w:val="004E17D8"/>
    <w:rsid w:val="004E56F4"/>
    <w:rsid w:val="00505316"/>
    <w:rsid w:val="00533DD0"/>
    <w:rsid w:val="0054470B"/>
    <w:rsid w:val="00553308"/>
    <w:rsid w:val="00594AE6"/>
    <w:rsid w:val="005A10E6"/>
    <w:rsid w:val="005D03FB"/>
    <w:rsid w:val="006013D0"/>
    <w:rsid w:val="00613B1D"/>
    <w:rsid w:val="006226B2"/>
    <w:rsid w:val="00692762"/>
    <w:rsid w:val="00695DEC"/>
    <w:rsid w:val="006C6F06"/>
    <w:rsid w:val="006D728B"/>
    <w:rsid w:val="006E72F8"/>
    <w:rsid w:val="006E7B50"/>
    <w:rsid w:val="0070475A"/>
    <w:rsid w:val="00740DE9"/>
    <w:rsid w:val="00743FB5"/>
    <w:rsid w:val="0075019F"/>
    <w:rsid w:val="007511A8"/>
    <w:rsid w:val="00755C0B"/>
    <w:rsid w:val="00770AFE"/>
    <w:rsid w:val="007A4853"/>
    <w:rsid w:val="007E10A6"/>
    <w:rsid w:val="00821B7F"/>
    <w:rsid w:val="00825343"/>
    <w:rsid w:val="008316EB"/>
    <w:rsid w:val="00863601"/>
    <w:rsid w:val="00873EC7"/>
    <w:rsid w:val="008B2BB9"/>
    <w:rsid w:val="008B6768"/>
    <w:rsid w:val="008C18FD"/>
    <w:rsid w:val="008E2902"/>
    <w:rsid w:val="008F1634"/>
    <w:rsid w:val="00914C65"/>
    <w:rsid w:val="00947ADF"/>
    <w:rsid w:val="00966B91"/>
    <w:rsid w:val="00981AFF"/>
    <w:rsid w:val="009876D2"/>
    <w:rsid w:val="009A1A8D"/>
    <w:rsid w:val="009E3E46"/>
    <w:rsid w:val="00A07CF5"/>
    <w:rsid w:val="00A14EC8"/>
    <w:rsid w:val="00A17DC2"/>
    <w:rsid w:val="00A40DC2"/>
    <w:rsid w:val="00A47213"/>
    <w:rsid w:val="00A96771"/>
    <w:rsid w:val="00AD5B91"/>
    <w:rsid w:val="00AF7D84"/>
    <w:rsid w:val="00B10F20"/>
    <w:rsid w:val="00B3322C"/>
    <w:rsid w:val="00B35FCC"/>
    <w:rsid w:val="00B462AF"/>
    <w:rsid w:val="00B641F3"/>
    <w:rsid w:val="00B727D5"/>
    <w:rsid w:val="00B83AC6"/>
    <w:rsid w:val="00BF29FE"/>
    <w:rsid w:val="00C4058E"/>
    <w:rsid w:val="00C517A0"/>
    <w:rsid w:val="00C63CDF"/>
    <w:rsid w:val="00CA0429"/>
    <w:rsid w:val="00CB0A5A"/>
    <w:rsid w:val="00CC46EF"/>
    <w:rsid w:val="00CD3A56"/>
    <w:rsid w:val="00CD5108"/>
    <w:rsid w:val="00CE76C6"/>
    <w:rsid w:val="00CF25FA"/>
    <w:rsid w:val="00D2783D"/>
    <w:rsid w:val="00D358FE"/>
    <w:rsid w:val="00D414AA"/>
    <w:rsid w:val="00D76653"/>
    <w:rsid w:val="00D858C3"/>
    <w:rsid w:val="00D87FBC"/>
    <w:rsid w:val="00D96C32"/>
    <w:rsid w:val="00DB2187"/>
    <w:rsid w:val="00DC5098"/>
    <w:rsid w:val="00DC72FD"/>
    <w:rsid w:val="00DE3952"/>
    <w:rsid w:val="00DF00F3"/>
    <w:rsid w:val="00DF1E1F"/>
    <w:rsid w:val="00E2660A"/>
    <w:rsid w:val="00E27F8A"/>
    <w:rsid w:val="00E43C62"/>
    <w:rsid w:val="00E67B70"/>
    <w:rsid w:val="00EB34FA"/>
    <w:rsid w:val="00ED1460"/>
    <w:rsid w:val="00F0671B"/>
    <w:rsid w:val="00F14D44"/>
    <w:rsid w:val="00F314E1"/>
    <w:rsid w:val="00F31699"/>
    <w:rsid w:val="00F35CDC"/>
    <w:rsid w:val="00F729E1"/>
    <w:rsid w:val="00F749F7"/>
    <w:rsid w:val="00F7589F"/>
    <w:rsid w:val="00F872F6"/>
    <w:rsid w:val="00FA4B50"/>
    <w:rsid w:val="00FA50EE"/>
    <w:rsid w:val="00FB414E"/>
    <w:rsid w:val="00FB5BEB"/>
    <w:rsid w:val="00FB63C8"/>
    <w:rsid w:val="00FD1161"/>
    <w:rsid w:val="00FE65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E221A"/>
  <w15:docId w15:val="{E34CA445-6D6C-4AF3-895F-0C71A1D11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D074D"/>
    <w:rPr>
      <w:rFonts w:ascii="Calibri" w:eastAsia="Times New Roman" w:hAnsi="Calibri"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GS">
    <w:name w:val="GS"/>
    <w:basedOn w:val="Standard"/>
    <w:uiPriority w:val="99"/>
    <w:rsid w:val="000D074D"/>
    <w:pPr>
      <w:widowControl w:val="0"/>
      <w:autoSpaceDE w:val="0"/>
      <w:autoSpaceDN w:val="0"/>
      <w:adjustRightInd w:val="0"/>
      <w:spacing w:before="60" w:after="0" w:line="223" w:lineRule="atLeast"/>
      <w:jc w:val="both"/>
      <w:textAlignment w:val="center"/>
    </w:pPr>
    <w:rPr>
      <w:rFonts w:ascii="Times New Roman" w:hAnsi="Times New Roman"/>
      <w:color w:val="000000"/>
      <w:sz w:val="18"/>
      <w:szCs w:val="18"/>
    </w:rPr>
  </w:style>
  <w:style w:type="paragraph" w:styleId="Textkrper">
    <w:name w:val="Body Text"/>
    <w:basedOn w:val="Standard"/>
    <w:link w:val="TextkrperZchn"/>
    <w:rsid w:val="000D074D"/>
    <w:pPr>
      <w:spacing w:after="0" w:line="240" w:lineRule="auto"/>
      <w:jc w:val="both"/>
    </w:pPr>
    <w:rPr>
      <w:rFonts w:ascii="Times New Roman" w:hAnsi="Times New Roman"/>
      <w:sz w:val="24"/>
      <w:szCs w:val="24"/>
    </w:rPr>
  </w:style>
  <w:style w:type="character" w:customStyle="1" w:styleId="TextkrperZchn">
    <w:name w:val="Textkörper Zchn"/>
    <w:basedOn w:val="Absatz-Standardschriftart"/>
    <w:link w:val="Textkrper"/>
    <w:rsid w:val="000D074D"/>
    <w:rPr>
      <w:rFonts w:ascii="Times New Roman" w:eastAsia="Times New Roman" w:hAnsi="Times New Roman" w:cs="Times New Roman"/>
      <w:sz w:val="24"/>
      <w:szCs w:val="24"/>
      <w:lang w:eastAsia="de-DE"/>
    </w:rPr>
  </w:style>
  <w:style w:type="paragraph" w:styleId="StandardWeb">
    <w:name w:val="Normal (Web)"/>
    <w:basedOn w:val="Standard"/>
    <w:uiPriority w:val="99"/>
    <w:semiHidden/>
    <w:unhideWhenUsed/>
    <w:rsid w:val="004E56F4"/>
    <w:pPr>
      <w:spacing w:before="100" w:beforeAutospacing="1" w:after="100" w:afterAutospacing="1" w:line="240" w:lineRule="auto"/>
    </w:pPr>
    <w:rPr>
      <w:rFonts w:ascii="Times New Roman" w:hAnsi="Times New Roman"/>
      <w:sz w:val="24"/>
      <w:szCs w:val="24"/>
    </w:rPr>
  </w:style>
  <w:style w:type="table" w:styleId="Tabellenraster">
    <w:name w:val="Table Grid"/>
    <w:basedOn w:val="NormaleTabelle"/>
    <w:uiPriority w:val="59"/>
    <w:unhideWhenUsed/>
    <w:rsid w:val="004E5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872F6"/>
    <w:pPr>
      <w:ind w:left="720"/>
      <w:contextualSpacing/>
    </w:pPr>
  </w:style>
  <w:style w:type="paragraph" w:customStyle="1" w:styleId="Box-Text">
    <w:name w:val="Box-Text"/>
    <w:basedOn w:val="Standard"/>
    <w:uiPriority w:val="99"/>
    <w:rsid w:val="003D6598"/>
    <w:pPr>
      <w:widowControl w:val="0"/>
      <w:autoSpaceDE w:val="0"/>
      <w:autoSpaceDN w:val="0"/>
      <w:adjustRightInd w:val="0"/>
      <w:spacing w:after="0" w:line="191" w:lineRule="atLeast"/>
      <w:textAlignment w:val="center"/>
    </w:pPr>
    <w:rPr>
      <w:rFonts w:ascii="Arial" w:hAnsi="Arial" w:cs="Arial"/>
      <w:color w:val="000000"/>
      <w:sz w:val="16"/>
      <w:szCs w:val="16"/>
    </w:rPr>
  </w:style>
  <w:style w:type="paragraph" w:customStyle="1" w:styleId="Box-Kopf">
    <w:name w:val="Box-Kopf"/>
    <w:basedOn w:val="Box-Text"/>
    <w:uiPriority w:val="99"/>
    <w:rsid w:val="003D6598"/>
    <w:rPr>
      <w:b/>
      <w:bCs/>
      <w:color w:val="FFFFFF"/>
    </w:rPr>
  </w:style>
  <w:style w:type="paragraph" w:customStyle="1" w:styleId="Widmung">
    <w:name w:val="Widmung"/>
    <w:basedOn w:val="Standard"/>
    <w:uiPriority w:val="99"/>
    <w:rsid w:val="00966B91"/>
    <w:pPr>
      <w:widowControl w:val="0"/>
      <w:numPr>
        <w:numId w:val="3"/>
      </w:numPr>
      <w:autoSpaceDE w:val="0"/>
      <w:autoSpaceDN w:val="0"/>
      <w:adjustRightInd w:val="0"/>
      <w:spacing w:after="0" w:line="223" w:lineRule="atLeast"/>
      <w:jc w:val="center"/>
      <w:textAlignment w:val="center"/>
    </w:pPr>
    <w:rPr>
      <w:rFonts w:ascii="Arial" w:hAnsi="Arial" w:cs="Arial"/>
      <w:color w:val="000000"/>
      <w:sz w:val="20"/>
      <w:szCs w:val="20"/>
    </w:rPr>
  </w:style>
  <w:style w:type="paragraph" w:customStyle="1" w:styleId="GS-Ebene1Punkt">
    <w:name w:val="GS - Ebene 1 (Punkt)"/>
    <w:basedOn w:val="GS"/>
    <w:uiPriority w:val="99"/>
    <w:rsid w:val="00966B91"/>
    <w:pPr>
      <w:numPr>
        <w:numId w:val="2"/>
      </w:numPr>
      <w:ind w:left="227" w:hanging="227"/>
    </w:pPr>
  </w:style>
  <w:style w:type="paragraph" w:customStyle="1" w:styleId="U4">
    <w:name w:val="U4"/>
    <w:basedOn w:val="Standard"/>
    <w:uiPriority w:val="99"/>
    <w:rsid w:val="00966B91"/>
    <w:pPr>
      <w:keepNext/>
      <w:keepLines/>
      <w:widowControl w:val="0"/>
      <w:autoSpaceDE w:val="0"/>
      <w:autoSpaceDN w:val="0"/>
      <w:adjustRightInd w:val="0"/>
      <w:spacing w:before="163" w:after="60" w:line="223" w:lineRule="atLeast"/>
      <w:textAlignment w:val="center"/>
    </w:pPr>
    <w:rPr>
      <w:rFonts w:ascii="Arial" w:hAnsi="Arial" w:cs="Arial"/>
      <w:i/>
      <w:iCs/>
      <w:color w:val="000000"/>
      <w:sz w:val="18"/>
      <w:szCs w:val="18"/>
    </w:rPr>
  </w:style>
  <w:style w:type="paragraph" w:customStyle="1" w:styleId="BU">
    <w:name w:val="BU"/>
    <w:basedOn w:val="Standard"/>
    <w:uiPriority w:val="99"/>
    <w:rsid w:val="00966B9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191" w:lineRule="atLeast"/>
      <w:jc w:val="center"/>
      <w:textAlignment w:val="center"/>
    </w:pPr>
    <w:rPr>
      <w:rFonts w:ascii="Arial" w:hAnsi="Arial" w:cs="Arial"/>
      <w:i/>
      <w:iCs/>
      <w:color w:val="000000"/>
      <w:sz w:val="16"/>
      <w:szCs w:val="16"/>
    </w:rPr>
  </w:style>
  <w:style w:type="paragraph" w:customStyle="1" w:styleId="GS-Ebene11">
    <w:name w:val="GS - Ebene 1 (1.)"/>
    <w:basedOn w:val="GS"/>
    <w:uiPriority w:val="99"/>
    <w:rsid w:val="00966B91"/>
    <w:pPr>
      <w:ind w:left="227" w:hanging="227"/>
    </w:pPr>
  </w:style>
  <w:style w:type="paragraph" w:customStyle="1" w:styleId="U3-111">
    <w:name w:val="U3 - 1.1.1"/>
    <w:basedOn w:val="Standard"/>
    <w:uiPriority w:val="99"/>
    <w:rsid w:val="00966B91"/>
    <w:pPr>
      <w:keepNext/>
      <w:keepLines/>
      <w:widowControl w:val="0"/>
      <w:autoSpaceDE w:val="0"/>
      <w:autoSpaceDN w:val="0"/>
      <w:adjustRightInd w:val="0"/>
      <w:spacing w:before="163" w:after="112" w:line="245" w:lineRule="atLeast"/>
      <w:textAlignment w:val="center"/>
    </w:pPr>
    <w:rPr>
      <w:rFonts w:ascii="Arial" w:hAnsi="Arial" w:cs="Arial"/>
      <w:i/>
      <w:iCs/>
      <w:color w:val="000000"/>
      <w:sz w:val="20"/>
      <w:szCs w:val="20"/>
    </w:rPr>
  </w:style>
  <w:style w:type="paragraph" w:customStyle="1" w:styleId="Tab-U">
    <w:name w:val="Tab-U"/>
    <w:basedOn w:val="Standard"/>
    <w:uiPriority w:val="99"/>
    <w:rsid w:val="00966B91"/>
    <w:pPr>
      <w:widowControl w:val="0"/>
      <w:autoSpaceDE w:val="0"/>
      <w:autoSpaceDN w:val="0"/>
      <w:adjustRightInd w:val="0"/>
      <w:spacing w:before="360" w:after="0" w:line="191" w:lineRule="atLeast"/>
      <w:jc w:val="center"/>
      <w:textAlignment w:val="center"/>
    </w:pPr>
    <w:rPr>
      <w:rFonts w:ascii="Arial" w:hAnsi="Arial" w:cs="Arial"/>
      <w:i/>
      <w:iCs/>
      <w:color w:val="000000"/>
      <w:sz w:val="16"/>
      <w:szCs w:val="16"/>
    </w:rPr>
  </w:style>
  <w:style w:type="paragraph" w:customStyle="1" w:styleId="GS-Ebene110">
    <w:name w:val="GS - Ebene 1 ((1))"/>
    <w:basedOn w:val="GS"/>
    <w:uiPriority w:val="99"/>
    <w:rsid w:val="00966B91"/>
    <w:pPr>
      <w:ind w:left="340" w:hanging="340"/>
    </w:pPr>
  </w:style>
  <w:style w:type="paragraph" w:customStyle="1" w:styleId="Tab-Text">
    <w:name w:val="Tab-Text"/>
    <w:basedOn w:val="Standard"/>
    <w:uiPriority w:val="99"/>
    <w:rsid w:val="00966B91"/>
    <w:pPr>
      <w:widowControl w:val="0"/>
      <w:autoSpaceDE w:val="0"/>
      <w:autoSpaceDN w:val="0"/>
      <w:adjustRightInd w:val="0"/>
      <w:spacing w:after="0" w:line="191" w:lineRule="atLeast"/>
      <w:textAlignment w:val="center"/>
    </w:pPr>
    <w:rPr>
      <w:rFonts w:ascii="Arial" w:hAnsi="Arial" w:cs="Arial"/>
      <w:color w:val="000000"/>
      <w:sz w:val="16"/>
      <w:szCs w:val="16"/>
    </w:rPr>
  </w:style>
  <w:style w:type="paragraph" w:customStyle="1" w:styleId="Tab-Kopf">
    <w:name w:val="Tab-Kopf"/>
    <w:basedOn w:val="Tab-Text"/>
    <w:uiPriority w:val="99"/>
    <w:rsid w:val="00966B91"/>
    <w:rPr>
      <w:b/>
      <w:bCs/>
    </w:rPr>
  </w:style>
  <w:style w:type="paragraph" w:customStyle="1" w:styleId="Tab-Text-zentriert">
    <w:name w:val="Tab-Text - zentriert"/>
    <w:aliases w:val="bold"/>
    <w:basedOn w:val="Tab-Text"/>
    <w:uiPriority w:val="99"/>
    <w:rsid w:val="00966B91"/>
    <w:pPr>
      <w:numPr>
        <w:numId w:val="4"/>
      </w:numPr>
      <w:ind w:left="0" w:firstLine="0"/>
      <w:jc w:val="center"/>
    </w:pPr>
    <w:rPr>
      <w:b/>
      <w:bCs/>
    </w:rPr>
  </w:style>
  <w:style w:type="paragraph" w:customStyle="1" w:styleId="Schlagwrter">
    <w:name w:val="Schlagwörter"/>
    <w:basedOn w:val="Tab-Text"/>
    <w:uiPriority w:val="99"/>
    <w:rsid w:val="00966B91"/>
    <w:pPr>
      <w:numPr>
        <w:numId w:val="5"/>
      </w:numPr>
      <w:ind w:left="227" w:hanging="227"/>
    </w:pPr>
  </w:style>
  <w:style w:type="character" w:styleId="Hyperlink">
    <w:name w:val="Hyperlink"/>
    <w:uiPriority w:val="99"/>
    <w:unhideWhenUsed/>
    <w:rsid w:val="00966B91"/>
    <w:rPr>
      <w:color w:val="0000FF"/>
      <w:u w:val="single"/>
    </w:rPr>
  </w:style>
  <w:style w:type="paragraph" w:styleId="Sprechblasentext">
    <w:name w:val="Balloon Text"/>
    <w:basedOn w:val="Standard"/>
    <w:link w:val="SprechblasentextZchn"/>
    <w:uiPriority w:val="99"/>
    <w:semiHidden/>
    <w:unhideWhenUsed/>
    <w:rsid w:val="006C6F0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C6F06"/>
    <w:rPr>
      <w:rFonts w:ascii="Segoe UI" w:eastAsia="Times New Roman" w:hAnsi="Segoe UI" w:cs="Segoe UI"/>
      <w:sz w:val="18"/>
      <w:szCs w:val="18"/>
      <w:lang w:eastAsia="de-DE"/>
    </w:rPr>
  </w:style>
  <w:style w:type="paragraph" w:customStyle="1" w:styleId="abs15">
    <w:name w:val="abs15"/>
    <w:basedOn w:val="Standard"/>
    <w:rsid w:val="000F5FA3"/>
    <w:pPr>
      <w:spacing w:before="100" w:beforeAutospacing="1" w:after="100" w:afterAutospacing="1" w:line="240" w:lineRule="auto"/>
    </w:pPr>
    <w:rPr>
      <w:rFonts w:ascii="Times New Roman" w:hAnsi="Times New Roman"/>
      <w:sz w:val="24"/>
      <w:szCs w:val="24"/>
    </w:rPr>
  </w:style>
  <w:style w:type="paragraph" w:customStyle="1" w:styleId="Tab-Kopf-zentriert">
    <w:name w:val="Tab-Kopf - zentriert"/>
    <w:basedOn w:val="Tab-Text"/>
    <w:uiPriority w:val="99"/>
    <w:rsid w:val="00DF00F3"/>
    <w:pPr>
      <w:jc w:val="center"/>
    </w:pPr>
    <w:rPr>
      <w:b/>
      <w:bCs/>
    </w:rPr>
  </w:style>
  <w:style w:type="paragraph" w:customStyle="1" w:styleId="Tab-Text-zentriert1">
    <w:name w:val="Tab-Text - zentriert1"/>
    <w:basedOn w:val="Tab-Text"/>
    <w:uiPriority w:val="99"/>
    <w:rsid w:val="00DF00F3"/>
    <w:pPr>
      <w:jc w:val="center"/>
    </w:pPr>
  </w:style>
  <w:style w:type="paragraph" w:styleId="Kopfzeile">
    <w:name w:val="header"/>
    <w:basedOn w:val="Standard"/>
    <w:link w:val="KopfzeileZchn"/>
    <w:uiPriority w:val="99"/>
    <w:unhideWhenUsed/>
    <w:rsid w:val="00FB414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B414E"/>
    <w:rPr>
      <w:rFonts w:ascii="Calibri" w:eastAsia="Times New Roman" w:hAnsi="Calibri" w:cs="Times New Roman"/>
      <w:lang w:eastAsia="de-DE"/>
    </w:rPr>
  </w:style>
  <w:style w:type="paragraph" w:styleId="Fuzeile">
    <w:name w:val="footer"/>
    <w:basedOn w:val="Standard"/>
    <w:link w:val="FuzeileZchn"/>
    <w:uiPriority w:val="99"/>
    <w:unhideWhenUsed/>
    <w:rsid w:val="00FB414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B414E"/>
    <w:rPr>
      <w:rFonts w:ascii="Calibri" w:eastAsia="Times New Roman" w:hAnsi="Calibri"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694887">
      <w:bodyDiv w:val="1"/>
      <w:marLeft w:val="0"/>
      <w:marRight w:val="0"/>
      <w:marTop w:val="0"/>
      <w:marBottom w:val="0"/>
      <w:divBdr>
        <w:top w:val="none" w:sz="0" w:space="0" w:color="auto"/>
        <w:left w:val="none" w:sz="0" w:space="0" w:color="auto"/>
        <w:bottom w:val="none" w:sz="0" w:space="0" w:color="auto"/>
        <w:right w:val="none" w:sz="0" w:space="0" w:color="auto"/>
      </w:divBdr>
    </w:div>
    <w:div w:id="679357410">
      <w:bodyDiv w:val="1"/>
      <w:marLeft w:val="0"/>
      <w:marRight w:val="0"/>
      <w:marTop w:val="0"/>
      <w:marBottom w:val="0"/>
      <w:divBdr>
        <w:top w:val="none" w:sz="0" w:space="0" w:color="auto"/>
        <w:left w:val="none" w:sz="0" w:space="0" w:color="auto"/>
        <w:bottom w:val="none" w:sz="0" w:space="0" w:color="auto"/>
        <w:right w:val="none" w:sz="0" w:space="0" w:color="auto"/>
      </w:divBdr>
    </w:div>
    <w:div w:id="1051734276">
      <w:bodyDiv w:val="1"/>
      <w:marLeft w:val="0"/>
      <w:marRight w:val="0"/>
      <w:marTop w:val="0"/>
      <w:marBottom w:val="0"/>
      <w:divBdr>
        <w:top w:val="none" w:sz="0" w:space="0" w:color="auto"/>
        <w:left w:val="none" w:sz="0" w:space="0" w:color="auto"/>
        <w:bottom w:val="none" w:sz="0" w:space="0" w:color="auto"/>
        <w:right w:val="none" w:sz="0" w:space="0" w:color="auto"/>
      </w:divBdr>
    </w:div>
    <w:div w:id="1347250815">
      <w:bodyDiv w:val="1"/>
      <w:marLeft w:val="0"/>
      <w:marRight w:val="0"/>
      <w:marTop w:val="0"/>
      <w:marBottom w:val="0"/>
      <w:divBdr>
        <w:top w:val="none" w:sz="0" w:space="0" w:color="auto"/>
        <w:left w:val="none" w:sz="0" w:space="0" w:color="auto"/>
        <w:bottom w:val="none" w:sz="0" w:space="0" w:color="auto"/>
        <w:right w:val="none" w:sz="0" w:space="0" w:color="auto"/>
      </w:divBdr>
    </w:div>
    <w:div w:id="1359117091">
      <w:bodyDiv w:val="1"/>
      <w:marLeft w:val="0"/>
      <w:marRight w:val="0"/>
      <w:marTop w:val="0"/>
      <w:marBottom w:val="0"/>
      <w:divBdr>
        <w:top w:val="none" w:sz="0" w:space="0" w:color="auto"/>
        <w:left w:val="none" w:sz="0" w:space="0" w:color="auto"/>
        <w:bottom w:val="none" w:sz="0" w:space="0" w:color="auto"/>
        <w:right w:val="none" w:sz="0" w:space="0" w:color="auto"/>
      </w:divBdr>
      <w:divsChild>
        <w:div w:id="907957766">
          <w:marLeft w:val="0"/>
          <w:marRight w:val="0"/>
          <w:marTop w:val="0"/>
          <w:marBottom w:val="0"/>
          <w:divBdr>
            <w:top w:val="none" w:sz="0" w:space="0" w:color="auto"/>
            <w:left w:val="none" w:sz="0" w:space="0" w:color="auto"/>
            <w:bottom w:val="none" w:sz="0" w:space="0" w:color="auto"/>
            <w:right w:val="none" w:sz="0" w:space="0" w:color="auto"/>
          </w:divBdr>
        </w:div>
      </w:divsChild>
    </w:div>
    <w:div w:id="1406297179">
      <w:bodyDiv w:val="1"/>
      <w:marLeft w:val="0"/>
      <w:marRight w:val="0"/>
      <w:marTop w:val="0"/>
      <w:marBottom w:val="0"/>
      <w:divBdr>
        <w:top w:val="none" w:sz="0" w:space="0" w:color="auto"/>
        <w:left w:val="none" w:sz="0" w:space="0" w:color="auto"/>
        <w:bottom w:val="none" w:sz="0" w:space="0" w:color="auto"/>
        <w:right w:val="none" w:sz="0" w:space="0" w:color="auto"/>
      </w:divBdr>
    </w:div>
    <w:div w:id="1764261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779</Words>
  <Characters>4908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mein Konto</dc:creator>
  <cp:keywords/>
  <dc:description/>
  <cp:lastModifiedBy>Agnieszka Gehringer</cp:lastModifiedBy>
  <cp:revision>25</cp:revision>
  <cp:lastPrinted>2021-06-24T12:42:00Z</cp:lastPrinted>
  <dcterms:created xsi:type="dcterms:W3CDTF">2021-07-31T16:09:00Z</dcterms:created>
  <dcterms:modified xsi:type="dcterms:W3CDTF">2023-03-08T08:00:00Z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31ac907-69c7-41f8-b132-f74e8ef934a2_Enabled">
    <vt:lpwstr>true</vt:lpwstr>
  </property>
  <property fmtid="{D5CDD505-2E9C-101B-9397-08002B2CF9AE}" pid="3" name="MSIP_Label_e31ac907-69c7-41f8-b132-f74e8ef934a2_SetDate">
    <vt:lpwstr>2023-02-19T12:56:54Z</vt:lpwstr>
  </property>
  <property fmtid="{D5CDD505-2E9C-101B-9397-08002B2CF9AE}" pid="4" name="MSIP_Label_e31ac907-69c7-41f8-b132-f74e8ef934a2_Method">
    <vt:lpwstr>Standard</vt:lpwstr>
  </property>
  <property fmtid="{D5CDD505-2E9C-101B-9397-08002B2CF9AE}" pid="5" name="MSIP_Label_e31ac907-69c7-41f8-b132-f74e8ef934a2_Name">
    <vt:lpwstr>Internal Only</vt:lpwstr>
  </property>
  <property fmtid="{D5CDD505-2E9C-101B-9397-08002B2CF9AE}" pid="6" name="MSIP_Label_e31ac907-69c7-41f8-b132-f74e8ef934a2_SiteId">
    <vt:lpwstr>c6c6e603-a213-46ca-8926-75ec27c93e6f</vt:lpwstr>
  </property>
  <property fmtid="{D5CDD505-2E9C-101B-9397-08002B2CF9AE}" pid="7" name="MSIP_Label_e31ac907-69c7-41f8-b132-f74e8ef934a2_ActionId">
    <vt:lpwstr>9de318d9-47c9-4d81-ae28-b6d8320af242</vt:lpwstr>
  </property>
  <property fmtid="{D5CDD505-2E9C-101B-9397-08002B2CF9AE}" pid="8" name="MSIP_Label_e31ac907-69c7-41f8-b132-f74e8ef934a2_ContentBits">
    <vt:lpwstr>0</vt:lpwstr>
  </property>
</Properties>
</file>